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080" distB="5080" distL="5080" distR="5080" simplePos="0" locked="0" layoutInCell="0" allowOverlap="1" relativeHeight="4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0500" cy="1294130"/>
                <wp:effectExtent l="5080" t="5080" r="5080" b="5080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20" cy="1294200"/>
                          <a:chOff x="0" y="0"/>
                          <a:chExt cx="1460520" cy="1294200"/>
                        </a:xfrm>
                      </wpg:grpSpPr>
                      <wpg:grpSp>
                        <wpg:cNvGrpSpPr/>
                        <wpg:grpSpPr>
                          <a:xfrm>
                            <a:off x="91440" y="94680"/>
                            <a:ext cx="1270080" cy="110412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69520" cy="3967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520" cy="4597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400"/>
                              <a:ext cx="1129680" cy="6768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7800"/>
                              <a:ext cx="965880" cy="186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87600"/>
                              <a:ext cx="692640" cy="2926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1680"/>
                              <a:ext cx="790560" cy="3157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2520"/>
                              <a:ext cx="699120" cy="471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4920"/>
                              <a:ext cx="542160" cy="792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798840"/>
                              <a:ext cx="628560" cy="2368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0520" cy="12942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2pt;margin-top:-39.45pt;width:115pt;height:101.9pt" coordorigin="3924,-789" coordsize="2300,2038">
                <v:group id="shape_0" style="position:absolute;left:4068;top:-640;width:2001;height:1739"/>
                <v:rect id="shape_0" path="m0,0l-2147483645,0l-2147483645,-2147483646l0,-2147483646xe" stroked="t" o:allowincell="f" style="position:absolute;left:3924;top:-789;width:2299;height:2037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Rekonstrukce mostu v km 21,510</w:t>
      </w:r>
    </w:p>
    <w:p>
      <w:pPr>
        <w:pStyle w:val="Nzev1"/>
        <w:jc w:val="center"/>
        <w:rPr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 xml:space="preserve">na trati Tábor – Písek </w:t>
      </w:r>
    </w:p>
    <w:p>
      <w:pPr>
        <w:pStyle w:val="Nzev2"/>
        <w:jc w:val="center"/>
        <w:rPr>
          <w:b/>
          <w:b/>
          <w:bCs/>
          <w:lang w:val="cs-CZ"/>
        </w:rPr>
      </w:pPr>
      <w:r>
        <w:rPr>
          <w:b/>
          <w:bCs/>
          <w:lang w:val="cs-CZ"/>
        </w:rPr>
      </w:r>
    </w:p>
    <w:p>
      <w:pPr>
        <w:pStyle w:val="Nzev1"/>
        <w:jc w:val="center"/>
        <w:rPr/>
      </w:pPr>
      <w:r>
        <w:rPr>
          <w:b/>
          <w:bCs/>
          <w:lang w:val="cs-CZ"/>
        </w:rPr>
        <w:t>zak.č. 2022 19-</w:t>
      </w:r>
      <w:r>
        <w:rPr>
          <w:b/>
          <w:bCs/>
          <w:sz w:val="40"/>
          <w:lang w:val="cs-CZ"/>
        </w:rPr>
        <w:t>01</w:t>
      </w:r>
      <w:r>
        <w:rPr>
          <w:b/>
          <w:bCs/>
          <w:sz w:val="40"/>
          <w:lang w:val="cs-CZ"/>
        </w:rPr>
        <w:t>6</w:t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>
          <w:b/>
          <w:b/>
          <w:bCs/>
        </w:rPr>
      </w:pPr>
      <w:r>
        <w:rPr>
          <w:b/>
          <w:bCs/>
        </w:rPr>
        <w:t>N.1.5.1 – TECHNICKÁ ZPRÁVA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1. Zadavatelem poskytnuté podklady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Zájmové území se nachází v TÚ 1811 Tábor - Písek</w:t>
      </w:r>
      <w:r>
        <w:rPr>
          <w:b w:val="false"/>
          <w:bCs w:val="false"/>
          <w:color w:val="auto"/>
          <w:sz w:val="20"/>
        </w:rPr>
        <w:t xml:space="preserve"> </w:t>
      </w:r>
      <w:r>
        <w:rPr>
          <w:b w:val="false"/>
          <w:bCs w:val="false"/>
          <w:color w:val="auto"/>
        </w:rPr>
        <w:t xml:space="preserve">v rozsahu staničení km </w:t>
      </w:r>
      <w:r>
        <w:rPr>
          <w:b w:val="false"/>
          <w:bCs w:val="false"/>
          <w:color w:val="auto"/>
          <w:sz w:val="20"/>
        </w:rPr>
        <w:t>21</w:t>
      </w:r>
      <w:r>
        <w:rPr>
          <w:b w:val="false"/>
          <w:bCs w:val="false"/>
          <w:color w:val="auto"/>
          <w:sz w:val="20"/>
          <w:szCs w:val="20"/>
        </w:rPr>
        <w:t>,</w:t>
      </w:r>
      <w:r>
        <w:rPr>
          <w:b w:val="false"/>
          <w:bCs w:val="false"/>
          <w:color w:val="auto"/>
          <w:sz w:val="20"/>
          <w:szCs w:val="20"/>
        </w:rPr>
        <w:t>239</w:t>
      </w:r>
      <w:r>
        <w:rPr>
          <w:b w:val="false"/>
          <w:bCs w:val="false"/>
          <w:color w:val="auto"/>
          <w:sz w:val="20"/>
          <w:szCs w:val="20"/>
        </w:rPr>
        <w:t xml:space="preserve"> </w:t>
      </w:r>
      <w:r>
        <w:rPr>
          <w:b w:val="false"/>
          <w:bCs w:val="false"/>
          <w:color w:val="auto"/>
          <w:sz w:val="20"/>
          <w:szCs w:val="20"/>
        </w:rPr>
        <w:t>253</w:t>
      </w:r>
      <w:r>
        <w:rPr>
          <w:b w:val="false"/>
          <w:bCs w:val="false"/>
          <w:color w:val="auto"/>
          <w:sz w:val="20"/>
          <w:szCs w:val="20"/>
        </w:rPr>
        <w:t xml:space="preserve"> – </w:t>
      </w:r>
      <w:r>
        <w:rPr>
          <w:b w:val="false"/>
          <w:bCs w:val="false"/>
          <w:color w:val="auto"/>
          <w:sz w:val="20"/>
          <w:szCs w:val="20"/>
        </w:rPr>
        <w:t>21</w:t>
      </w:r>
      <w:r>
        <w:rPr>
          <w:b w:val="false"/>
          <w:bCs w:val="false"/>
          <w:color w:val="auto"/>
          <w:sz w:val="20"/>
          <w:szCs w:val="20"/>
        </w:rPr>
        <w:t>,7</w:t>
      </w:r>
      <w:r>
        <w:rPr>
          <w:b w:val="false"/>
          <w:bCs w:val="false"/>
          <w:color w:val="auto"/>
          <w:sz w:val="20"/>
          <w:szCs w:val="20"/>
        </w:rPr>
        <w:t>09</w:t>
      </w:r>
      <w:r>
        <w:rPr>
          <w:b w:val="false"/>
          <w:bCs w:val="false"/>
          <w:color w:val="auto"/>
          <w:sz w:val="20"/>
          <w:szCs w:val="20"/>
        </w:rPr>
        <w:t xml:space="preserve"> </w:t>
      </w:r>
      <w:r>
        <w:rPr>
          <w:b w:val="false"/>
          <w:bCs w:val="false"/>
          <w:color w:val="auto"/>
          <w:sz w:val="20"/>
          <w:szCs w:val="20"/>
        </w:rPr>
        <w:t>744</w:t>
      </w:r>
      <w:r>
        <w:rPr>
          <w:b w:val="false"/>
          <w:bCs w:val="false"/>
          <w:color w:val="auto"/>
          <w:sz w:val="20"/>
          <w:szCs w:val="20"/>
        </w:rPr>
        <w:t>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 xml:space="preserve">Dle podkladů dodaných zadavatelem jsou v dotčeném prostoru platné geodetické podklady pro přípravu staveb v digitální formě, viz N.1.5.6 Geodetické a mapové podklady, i platné bodové pole ŽBP odpovídající TKP, viz N.1.5.3 Návrh vytyčovací sítě. Body sítě ŽBP byly ověřeny dle geodetických údajů dne </w:t>
      </w:r>
      <w:r>
        <w:rPr>
          <w:b w:val="false"/>
          <w:bCs w:val="false"/>
        </w:rPr>
        <w:t>1</w:t>
      </w:r>
      <w:r>
        <w:rPr>
          <w:b w:val="false"/>
          <w:bCs w:val="false"/>
          <w:sz w:val="20"/>
        </w:rPr>
        <w:t>7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.2022. Úplnost a přesnost stávajících  geodetických podkladů pro přípravu staveb je pro vyhotovení dokumentace ve stupni DUSP+PDPS dostačující.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2. Použité podklady pro záborový elaborát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Identifikace zájmového území pro majetkoprávní část</w:t>
      </w:r>
    </w:p>
    <w:tbl>
      <w:tblPr>
        <w:tblW w:w="10772" w:type="dxa"/>
        <w:jc w:val="left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4"/>
        <w:gridCol w:w="8327"/>
      </w:tblGrid>
      <w:tr>
        <w:trPr/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Kraj:</w:t>
            </w:r>
          </w:p>
        </w:tc>
        <w:tc>
          <w:tcPr>
            <w:tcW w:w="8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Jihočeský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Okres: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Písek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Obec: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Sepekov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Katastrální území: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747602 - Sepekov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Příslušný katastrální úřad: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Katastrální úřad pro Jihočeský kraj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Lidická tř. 124/11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České Budějovice 7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37086 České Budějovice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Příslušné katastrální pracoviště: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Katastrální pracoviště Písek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Nádražní 1988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Budějovické Předměstí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39701 Písek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10772" w:type="dxa"/>
        <w:jc w:val="left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4"/>
        <w:gridCol w:w="8328"/>
      </w:tblGrid>
      <w:tr>
        <w:trPr/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Kraj:</w:t>
            </w:r>
          </w:p>
        </w:tc>
        <w:tc>
          <w:tcPr>
            <w:tcW w:w="8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Jihočeský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Okres:</w:t>
            </w:r>
          </w:p>
        </w:tc>
        <w:tc>
          <w:tcPr>
            <w:tcW w:w="8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Písek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Obec:</w:t>
            </w:r>
          </w:p>
        </w:tc>
        <w:tc>
          <w:tcPr>
            <w:tcW w:w="8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Božetice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Katastrální území:</w:t>
            </w:r>
          </w:p>
        </w:tc>
        <w:tc>
          <w:tcPr>
            <w:tcW w:w="8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608840 - Božetice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Příslušný katastrální úřad:</w:t>
            </w:r>
          </w:p>
        </w:tc>
        <w:tc>
          <w:tcPr>
            <w:tcW w:w="8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Katastrální úřad pro Jihočeský kraj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Lidická tř. 124/11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České Budějovice 7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37086 České Budějovice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Příslušné katastrální pracoviště:</w:t>
            </w:r>
          </w:p>
        </w:tc>
        <w:tc>
          <w:tcPr>
            <w:tcW w:w="8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Katastrální pracoviště Písek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Nádražní 1988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Budějovické Předměstí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39701 Písek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Grafické podklady – soubor geodetických informací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 xml:space="preserve">k.ú. </w:t>
      </w:r>
      <w:r>
        <w:rPr>
          <w:b w:val="false"/>
          <w:bCs w:val="false"/>
          <w:sz w:val="20"/>
        </w:rPr>
        <w:t>Sepekov</w:t>
      </w:r>
      <w:r>
        <w:rPr>
          <w:b w:val="false"/>
          <w:bCs w:val="false"/>
        </w:rPr>
        <w:tab/>
        <w:tab/>
        <w:t>- DKM 1:1000</w:t>
        <w:tab/>
        <w:tab/>
        <w:tab/>
        <w:t xml:space="preserve">Platnost dat </w:t>
      </w:r>
      <w:r>
        <w:rPr>
          <w:b w:val="false"/>
          <w:bCs w:val="false"/>
        </w:rPr>
        <w:t>2</w:t>
      </w:r>
      <w:r>
        <w:rPr>
          <w:b w:val="false"/>
          <w:bCs w:val="false"/>
        </w:rPr>
        <w:t>1</w:t>
      </w:r>
      <w:r>
        <w:rPr>
          <w:b w:val="false"/>
          <w:bCs w:val="false"/>
          <w:color w:val="auto"/>
          <w:sz w:val="20"/>
        </w:rPr>
        <w:t>.</w:t>
      </w:r>
      <w:r>
        <w:rPr>
          <w:b w:val="false"/>
          <w:bCs w:val="false"/>
          <w:color w:val="auto"/>
          <w:sz w:val="20"/>
        </w:rPr>
        <w:t>6</w:t>
      </w:r>
      <w:r>
        <w:rPr>
          <w:b w:val="false"/>
          <w:bCs w:val="false"/>
          <w:color w:val="auto"/>
          <w:sz w:val="20"/>
        </w:rPr>
        <w:t>.2022</w:t>
      </w:r>
    </w:p>
    <w:p>
      <w:pPr>
        <w:pStyle w:val="Tlotextu"/>
        <w:jc w:val="both"/>
        <w:rPr/>
      </w:pPr>
      <w:r>
        <w:rPr>
          <w:b w:val="false"/>
          <w:bCs w:val="false"/>
          <w:color w:val="auto"/>
          <w:sz w:val="20"/>
        </w:rPr>
        <w:t>k.ú. Božetice</w:t>
        <w:tab/>
        <w:tab/>
        <w:t xml:space="preserve">- </w:t>
      </w:r>
      <w:r>
        <w:rPr>
          <w:b w:val="false"/>
          <w:bCs w:val="false"/>
          <w:color w:val="auto"/>
          <w:sz w:val="20"/>
        </w:rPr>
        <w:t>KMD</w:t>
      </w:r>
      <w:r>
        <w:rPr>
          <w:b w:val="false"/>
          <w:bCs w:val="false"/>
          <w:color w:val="auto"/>
          <w:sz w:val="20"/>
        </w:rPr>
        <w:t xml:space="preserve"> 1:1000</w:t>
        <w:tab/>
        <w:tab/>
        <w:tab/>
        <w:t xml:space="preserve">Platnost dat </w:t>
      </w:r>
      <w:r>
        <w:rPr>
          <w:b w:val="false"/>
          <w:bCs w:val="false"/>
          <w:color w:val="auto"/>
          <w:sz w:val="20"/>
        </w:rPr>
        <w:t>2</w:t>
      </w:r>
      <w:r>
        <w:rPr>
          <w:b w:val="false"/>
          <w:bCs w:val="false"/>
          <w:color w:val="auto"/>
          <w:sz w:val="20"/>
        </w:rPr>
        <w:t>1.</w:t>
      </w:r>
      <w:r>
        <w:rPr>
          <w:b w:val="false"/>
          <w:bCs w:val="false"/>
          <w:color w:val="auto"/>
          <w:sz w:val="20"/>
        </w:rPr>
        <w:t>6</w:t>
      </w:r>
      <w:r>
        <w:rPr>
          <w:b w:val="false"/>
          <w:bCs w:val="false"/>
          <w:color w:val="auto"/>
          <w:sz w:val="20"/>
        </w:rPr>
        <w:t>.2022</w:t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Písemné podklady – Informace ze souboru popisných informací katastru nemovitostí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Informace o pozemcích a vlastnících pro záborový elaborát byly pořízeny</w:t>
      </w:r>
      <w:r>
        <w:rPr>
          <w:b w:val="false"/>
          <w:bCs w:val="false"/>
          <w:color w:val="auto"/>
        </w:rPr>
        <w:t xml:space="preserve"> dne </w:t>
      </w:r>
      <w:r>
        <w:rPr>
          <w:b w:val="false"/>
          <w:bCs w:val="false"/>
          <w:color w:val="auto"/>
        </w:rPr>
        <w:t>2</w:t>
      </w:r>
      <w:r>
        <w:rPr>
          <w:b w:val="false"/>
          <w:bCs w:val="false"/>
          <w:color w:val="auto"/>
          <w:sz w:val="20"/>
        </w:rPr>
        <w:t>1</w:t>
      </w:r>
      <w:r>
        <w:rPr>
          <w:b w:val="false"/>
          <w:bCs w:val="false"/>
          <w:color w:val="auto"/>
        </w:rPr>
        <w:t>.</w:t>
      </w:r>
      <w:r>
        <w:rPr>
          <w:b w:val="false"/>
          <w:bCs w:val="false"/>
          <w:color w:val="auto"/>
          <w:sz w:val="20"/>
        </w:rPr>
        <w:t>6</w:t>
      </w:r>
      <w:r>
        <w:rPr>
          <w:b w:val="false"/>
          <w:bCs w:val="false"/>
          <w:color w:val="auto"/>
        </w:rPr>
        <w:t>.2022 ele</w:t>
      </w:r>
      <w:r>
        <w:rPr>
          <w:b w:val="false"/>
          <w:bCs w:val="false"/>
        </w:rPr>
        <w:t>ktronicky v internetové aplikaci Nahlížení do katastru nemovitostí (</w:t>
      </w:r>
      <w:hyperlink r:id="rId2">
        <w:r>
          <w:rPr>
            <w:rStyle w:val="Internetovodkaz"/>
            <w:b w:val="false"/>
            <w:bCs w:val="false"/>
          </w:rPr>
          <w:t>http://nahlizenidokn.cuzk.cz/</w:t>
        </w:r>
      </w:hyperlink>
      <w:r>
        <w:rPr>
          <w:b w:val="false"/>
          <w:bCs w:val="false"/>
        </w:rPr>
        <w:t>).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Vzhledem k plánované délce trvání stavby jsou všechny uvedené a vyznačené dočasné zábory v části „N.1.5.2 Majetkoprávní část (záborový elaborát)“ v délce trvání do 1 roku.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Geodetická dokumentace je vyhotovena dle platných právních předpisů – viz použité zákony.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Geodetická dokumentace – její obsah, rozsah a členění jsou vyhotoveny dle Směrnice SŽ SM011, ve znění pozdějších předpisů.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Geodetická dokumentace je členěna na následující části, které jsou samostatnými přílohami: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N.1.5.1 Technická zpráva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N.1.5.2 Majetkoprávní část (záborový elaborát)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N.1.5.3 Návrh vytyčovací sítě</w:t>
      </w:r>
    </w:p>
    <w:p>
      <w:pPr>
        <w:pStyle w:val="Tlotextu"/>
        <w:jc w:val="both"/>
        <w:rPr/>
      </w:pPr>
      <w:r>
        <w:rPr>
          <w:b w:val="false"/>
          <w:bCs w:val="false"/>
        </w:rPr>
        <w:t>N.1.5.</w:t>
      </w:r>
      <w:r>
        <w:rPr>
          <w:b w:val="false"/>
          <w:bCs w:val="false"/>
          <w:sz w:val="20"/>
        </w:rPr>
        <w:t>4</w:t>
      </w:r>
      <w:r>
        <w:rPr>
          <w:b w:val="false"/>
          <w:bCs w:val="false"/>
        </w:rPr>
        <w:t xml:space="preserve"> Koordinační vytyčovací výkres</w:t>
      </w:r>
    </w:p>
    <w:p>
      <w:pPr>
        <w:pStyle w:val="Tlotextu"/>
        <w:jc w:val="both"/>
        <w:rPr/>
      </w:pPr>
      <w:r>
        <w:rPr>
          <w:b w:val="false"/>
          <w:bCs w:val="false"/>
        </w:rPr>
        <w:t>N.1.5.</w:t>
      </w:r>
      <w:r>
        <w:rPr>
          <w:b w:val="false"/>
          <w:bCs w:val="false"/>
          <w:sz w:val="20"/>
        </w:rPr>
        <w:t>5</w:t>
      </w:r>
      <w:r>
        <w:rPr>
          <w:b w:val="false"/>
          <w:bCs w:val="false"/>
        </w:rPr>
        <w:t xml:space="preserve"> Obvod stavby</w:t>
      </w:r>
    </w:p>
    <w:p>
      <w:pPr>
        <w:pStyle w:val="Tlotextu"/>
        <w:jc w:val="both"/>
        <w:rPr/>
      </w:pPr>
      <w:r>
        <w:rPr>
          <w:b w:val="false"/>
          <w:bCs w:val="false"/>
        </w:rPr>
        <w:t>N.1.5.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 xml:space="preserve"> Geodetické a mapové podklady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Pedvacprotokoltexttlust"/>
        <w:jc w:val="both"/>
        <w:rPr>
          <w:rFonts w:ascii="Arial" w:hAnsi="Arial" w:cs="Arial"/>
          <w:b/>
          <w:b/>
          <w:bCs/>
          <w:sz w:val="20"/>
        </w:rPr>
      </w:pPr>
      <w:r>
        <w:rPr>
          <w:rFonts w:cs="Arial"/>
          <w:b/>
          <w:bCs/>
          <w:sz w:val="20"/>
        </w:rPr>
        <w:t>Použité zákony, vyhlášky, normy a předpisy, zejména:</w:t>
      </w:r>
    </w:p>
    <w:p>
      <w:pPr>
        <w:pStyle w:val="Tlotextu"/>
        <w:rPr/>
      </w:pPr>
      <w:r>
        <w:rPr/>
        <w:t>Zákon č.200/1994 Sb. - Zákon o zeměměřictví</w:t>
      </w:r>
    </w:p>
    <w:p>
      <w:pPr>
        <w:pStyle w:val="Tlotextu"/>
        <w:rPr/>
      </w:pPr>
      <w:r>
        <w:rPr/>
        <w:t>Zákon č.256/2013 Sb. - Zákon o katastru nemovitostí ČR (katastrální zákon)</w:t>
      </w:r>
    </w:p>
    <w:p>
      <w:pPr>
        <w:pStyle w:val="Tlotextu"/>
        <w:rPr/>
      </w:pPr>
      <w:r>
        <w:rPr/>
        <w:t>Vyhláška č.31/1995 - Prováděcí vyhláška k zákonu č.200/1994 Sb.</w:t>
      </w:r>
    </w:p>
    <w:p>
      <w:pPr>
        <w:pStyle w:val="Tlotextu"/>
        <w:rPr/>
      </w:pPr>
      <w:r>
        <w:rPr/>
        <w:t>Vyhláška č.358/2013 Sb. o poskytování údajů z katastru nemovitostí ČR</w:t>
      </w:r>
    </w:p>
    <w:p>
      <w:pPr>
        <w:pStyle w:val="Tlotextu"/>
        <w:rPr/>
      </w:pPr>
      <w:r>
        <w:rPr/>
        <w:t>Vyhláška č.357/2013 Sb. o katastru nemovitostí ČR (katastrální vyhláška)</w:t>
      </w:r>
    </w:p>
    <w:p>
      <w:pPr>
        <w:pStyle w:val="Tlotextu"/>
        <w:rPr/>
      </w:pPr>
      <w:r>
        <w:rPr/>
        <w:t>Nařízení vlády č.430/2006 Sb., o stanovení geodetických referenčních systémů a státních mapových děl závazných na území státu a zásadách jejich používání</w:t>
      </w:r>
    </w:p>
    <w:p>
      <w:pPr>
        <w:pStyle w:val="Tlotextu"/>
        <w:rPr/>
      </w:pPr>
      <w:r>
        <w:rPr/>
        <w:t>ČSN 01 3411 Mapy velkých měřítek</w:t>
      </w:r>
    </w:p>
    <w:p>
      <w:pPr>
        <w:pStyle w:val="Tlotextu"/>
        <w:rPr/>
      </w:pPr>
      <w:r>
        <w:rPr/>
        <w:t>ČSN 73 0401 Názvosloví v geodézii a kartografii</w:t>
      </w:r>
    </w:p>
    <w:p>
      <w:pPr>
        <w:pStyle w:val="Tlotextu"/>
        <w:rPr/>
      </w:pPr>
      <w:r>
        <w:rPr/>
        <w:t>ČSN 73 0415 Geodetické body</w:t>
      </w:r>
    </w:p>
    <w:p>
      <w:pPr>
        <w:pStyle w:val="Tlotextu"/>
        <w:rPr/>
      </w:pPr>
      <w:r>
        <w:rPr/>
        <w:t>ČSN 73 0416 Měřické značky stabilizovaných bodů v geodézii</w:t>
      </w:r>
    </w:p>
    <w:p>
      <w:pPr>
        <w:pStyle w:val="Tlotextu"/>
        <w:rPr/>
      </w:pPr>
      <w:r>
        <w:rPr/>
        <w:t>ČSN 73 0420-1 Přesnost vytyčování staveb: Základní požadavky</w:t>
      </w:r>
    </w:p>
    <w:p>
      <w:pPr>
        <w:pStyle w:val="Tlotextu"/>
        <w:rPr/>
      </w:pPr>
      <w:r>
        <w:rPr/>
        <w:t>ČSN 73 0420-2 Přesnost vytyčování staveb: Vytyčovací odchylky</w:t>
      </w:r>
    </w:p>
    <w:p>
      <w:pPr>
        <w:pStyle w:val="Tlotextu"/>
        <w:rPr/>
      </w:pPr>
      <w:r>
        <w:rPr/>
        <w:t>ČSN 01 3419 Vytyčovací výkresy staveb</w:t>
      </w:r>
    </w:p>
    <w:p>
      <w:pPr>
        <w:pStyle w:val="Tlotextu"/>
        <w:rPr/>
      </w:pPr>
      <w:r>
        <w:rPr/>
        <w:t>SŽ SM011 – Dokumentace staveb Správy železnic, státní organizace</w:t>
      </w:r>
    </w:p>
    <w:p>
      <w:pPr>
        <w:pStyle w:val="Tlotextu"/>
        <w:rPr/>
      </w:pPr>
      <w:r>
        <w:rPr/>
        <w:t>Směrnice SŽDC č.117 – Předávání digitální dokumentace z investiční výstavby SŽDC</w:t>
      </w:r>
    </w:p>
    <w:p>
      <w:pPr>
        <w:pStyle w:val="Tlotextu"/>
        <w:rPr/>
      </w:pPr>
      <w:r>
        <w:rPr/>
        <w:t>Technické kvalitativní podmínky staveb státních drah (TKP)</w:t>
      </w:r>
    </w:p>
    <w:p>
      <w:pPr>
        <w:pStyle w:val="Tlotextu"/>
        <w:rPr/>
      </w:pPr>
      <w:r>
        <w:rPr/>
        <w:t>Metodický pokyn SŽ M20/MP007 Železniční bodové pole</w:t>
      </w:r>
    </w:p>
    <w:p>
      <w:pPr>
        <w:pStyle w:val="Tlotextu"/>
        <w:rPr/>
      </w:pPr>
      <w:r>
        <w:rPr/>
        <w:t>Metodický pokyn SŽ M20/MP010 Účelová železniční mapa velkého měřítka</w:t>
      </w:r>
    </w:p>
    <w:p>
      <w:pPr>
        <w:pStyle w:val="Tlotextu"/>
        <w:rPr/>
      </w:pPr>
      <w:r>
        <w:rPr/>
        <w:t>Metodický pokyn SŽ M20/MP013 Záborový elaborát</w:t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4816475</wp:posOffset>
            </wp:positionH>
            <wp:positionV relativeFrom="paragraph">
              <wp:posOffset>36195</wp:posOffset>
            </wp:positionV>
            <wp:extent cx="1731010" cy="370840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41" t="-189" r="-41" b="-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 xml:space="preserve">Ve Vrchlabí </w:t>
      </w:r>
      <w:r>
        <w:rPr>
          <w:b w:val="false"/>
          <w:bCs w:val="false"/>
        </w:rPr>
        <w:t>2</w:t>
      </w:r>
      <w:r>
        <w:rPr>
          <w:b w:val="false"/>
          <w:bCs w:val="false"/>
          <w:sz w:val="20"/>
        </w:rPr>
        <w:t>1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ab/>
        <w:t>Ing. Vladimír Hlavsa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  <w:t>Náležitostmi a přesností odpovídá právním předpisům a podmínkám písemně dohodnutým s objednatelem.</w:t>
      </w:r>
    </w:p>
    <w:p>
      <w:pPr>
        <w:pStyle w:val="Tlotextu"/>
        <w:rPr/>
      </w:pPr>
      <w:r>
        <w:rPr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Evidenční číslo ověření:</w:t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Datum ověření:</w:t>
        <w:tab/>
        <w:tab/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Ing. Roman Čítek</w:t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oprávněn ověřovat výsledky zeměměřických činností</w:t>
      </w:r>
    </w:p>
    <w:p>
      <w:pPr>
        <w:pStyle w:val="Tlotextu"/>
        <w:jc w:val="center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  <w:t>dle §13 odst.1 písmena c) zákona číslo 200/1994 Sb.</w:t>
      </w:r>
    </w:p>
    <w:sectPr>
      <w:headerReference w:type="default" r:id="rId4"/>
      <w:footerReference w:type="default" r:id="rId5"/>
      <w:type w:val="nextPage"/>
      <w:pgSz w:w="11906" w:h="16838"/>
      <w:pgMar w:left="567" w:right="567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jc w:val="left"/>
      <w:rPr>
        <w:rFonts w:ascii="Arial" w:hAnsi="Arial" w:eastAsia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3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3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jc w:val="left"/>
      <w:rPr/>
    </w:pPr>
    <w:r>
      <w:rPr/>
      <w:drawing>
        <wp:inline distT="0" distB="0" distL="0" distR="0">
          <wp:extent cx="1811655" cy="407670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4" t="-282" r="-64" b="-282"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07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771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tru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Pedvacprotokoltext">
    <w:name w:val="Předávací protokol - text"/>
    <w:basedOn w:val="Text"/>
    <w:qFormat/>
    <w:pPr>
      <w:spacing w:before="0" w:after="0"/>
      <w:ind w:left="28" w:right="0" w:hanging="0"/>
    </w:pPr>
    <w:rPr/>
  </w:style>
  <w:style w:type="paragraph" w:styleId="Pedvacprotokoltexttlust">
    <w:name w:val="Předávací protokol - text tlustý"/>
    <w:basedOn w:val="Pedvacprotokoltext"/>
    <w:next w:val="Pedvacprotokoltext"/>
    <w:qFormat/>
    <w:pPr>
      <w:ind w:left="0" w:right="0" w:hanging="0"/>
    </w:pPr>
    <w:rPr>
      <w:b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ahlizenidokn.cuzk.cz/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6325</TotalTime>
  <Application>LibreOffice/7.3.2.2$Windows_X86_64 LibreOffice_project/49f2b1bff42cfccbd8f788c8dc32c1c309559be0</Application>
  <AppVersion>15.0000</AppVersion>
  <Pages>3</Pages>
  <Words>591</Words>
  <Characters>3743</Characters>
  <CharactersWithSpaces>4285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Bukvic</dc:creator>
  <dc:description/>
  <dc:language>cs-CZ</dc:language>
  <cp:lastModifiedBy/>
  <dcterms:modified xsi:type="dcterms:W3CDTF">2022-06-21T18:33:05Z</dcterms:modified>
  <cp:revision>196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